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BBA33A" w14:textId="77777777" w:rsidR="00C460D7" w:rsidRDefault="00C460D7">
      <w:pPr>
        <w:pStyle w:val="Body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4871D11F" w14:textId="77777777" w:rsidR="00C460D7" w:rsidRDefault="00C460D7">
      <w:pPr>
        <w:pStyle w:val="Body"/>
        <w:rPr>
          <w:rFonts w:ascii="Arial" w:eastAsia="Arial" w:hAnsi="Arial" w:cs="Arial"/>
          <w:sz w:val="24"/>
          <w:szCs w:val="24"/>
        </w:rPr>
      </w:pPr>
    </w:p>
    <w:p w14:paraId="51705F10" w14:textId="320740DC" w:rsidR="00C460D7" w:rsidRDefault="00FC0372">
      <w:pPr>
        <w:pStyle w:val="Default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Working from home is just one of the ways Covid19 has suddenly changed the way we work</w:t>
      </w:r>
      <w:r w:rsidR="008710C2">
        <w:rPr>
          <w:rFonts w:ascii="Calibri" w:eastAsia="Calibri" w:hAnsi="Calibri" w:cs="Calibri"/>
          <w:sz w:val="24"/>
          <w:szCs w:val="24"/>
          <w:u w:color="000000"/>
        </w:rPr>
        <w:t>. I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f we are to propel the economy out of recession, we 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>must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go further and fundamentally change the Australian workplace to make it more productive, profitable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and beneficial. </w:t>
      </w:r>
    </w:p>
    <w:p w14:paraId="5EFBC99E" w14:textId="77777777" w:rsidR="00C460D7" w:rsidRDefault="00C460D7">
      <w:pPr>
        <w:pStyle w:val="Default"/>
        <w:rPr>
          <w:rFonts w:ascii="Calibri" w:eastAsia="Calibri" w:hAnsi="Calibri" w:cs="Calibri"/>
          <w:sz w:val="24"/>
          <w:szCs w:val="24"/>
          <w:u w:color="000000"/>
        </w:rPr>
      </w:pPr>
    </w:p>
    <w:p w14:paraId="7C72A64F" w14:textId="77777777" w:rsidR="00C460D7" w:rsidRDefault="00FC0372">
      <w:pPr>
        <w:pStyle w:val="Default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One of the key strategies for a successful transition to the post-COVID-19 workplace is</w:t>
      </w:r>
      <w:r>
        <w:rPr>
          <w:rFonts w:ascii="Arial" w:hAnsi="Arial"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Good Work Design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. A timely, innovative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Position Paper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elaborating the key elements of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Good Work Design </w:t>
      </w:r>
      <w:r>
        <w:rPr>
          <w:rFonts w:ascii="Calibri" w:eastAsia="Calibri" w:hAnsi="Calibri" w:cs="Calibri"/>
          <w:sz w:val="24"/>
          <w:szCs w:val="24"/>
          <w:u w:color="000000"/>
        </w:rPr>
        <w:t>has just been published by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the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Human Factors and Ergonomics Society Australia (HFESA</w:t>
      </w:r>
      <w:r>
        <w:rPr>
          <w:rFonts w:ascii="Calibri" w:eastAsia="Calibri" w:hAnsi="Calibri" w:cs="Calibri"/>
          <w:sz w:val="24"/>
          <w:szCs w:val="24"/>
          <w:u w:color="000000"/>
        </w:rPr>
        <w:t>).  HFESA is the peak body that oversees the professional standards and the accreditation of ergonomists.</w:t>
      </w:r>
    </w:p>
    <w:p w14:paraId="556324D3" w14:textId="77777777" w:rsidR="00C460D7" w:rsidRDefault="00C460D7">
      <w:pPr>
        <w:pStyle w:val="Default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</w:p>
    <w:p w14:paraId="0D96EFB2" w14:textId="7075C634" w:rsidR="00C460D7" w:rsidRDefault="00FC0372">
      <w:pPr>
        <w:pStyle w:val="Default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The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Position Paper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presents the professional experience and knowledge of ergonomists on the most effective means to optimise human work and system performance. It sets out the 3-phased process to create positive impact in the workplace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>, a</w:t>
      </w:r>
      <w:r>
        <w:rPr>
          <w:rFonts w:ascii="Calibri" w:eastAsia="Calibri" w:hAnsi="Calibri" w:cs="Calibri"/>
          <w:sz w:val="24"/>
          <w:szCs w:val="24"/>
          <w:u w:color="000000"/>
        </w:rPr>
        <w:t>nd it demonstrates that Good Work Design translates into the common good for all those connected to the enterprise.</w:t>
      </w:r>
    </w:p>
    <w:p w14:paraId="72762952" w14:textId="77777777" w:rsidR="00C460D7" w:rsidRDefault="00C460D7">
      <w:pPr>
        <w:pStyle w:val="Default"/>
        <w:tabs>
          <w:tab w:val="right" w:pos="9020"/>
        </w:tabs>
        <w:rPr>
          <w:rFonts w:ascii="Calibri" w:eastAsia="Calibri" w:hAnsi="Calibri" w:cs="Calibri"/>
          <w:sz w:val="24"/>
          <w:szCs w:val="24"/>
          <w:u w:color="000000"/>
        </w:rPr>
      </w:pPr>
    </w:p>
    <w:p w14:paraId="3A1C2EB1" w14:textId="77777777" w:rsidR="00C460D7" w:rsidRDefault="00FC0372">
      <w:pPr>
        <w:pStyle w:val="Default"/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What is Good Work Design?</w:t>
      </w:r>
    </w:p>
    <w:p w14:paraId="01DFBFA5" w14:textId="725F5915" w:rsidR="00C460D7" w:rsidRDefault="00FC0372" w:rsidP="00355B78">
      <w:pPr>
        <w:pStyle w:val="Default"/>
        <w:spacing w:after="160" w:line="259" w:lineRule="auto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It is design that not only solves problems in the workplace, but also </w:t>
      </w:r>
      <w:proofErr w:type="spellStart"/>
      <w:r>
        <w:rPr>
          <w:rFonts w:ascii="Calibri" w:eastAsia="Calibri" w:hAnsi="Calibri" w:cs="Calibri"/>
          <w:sz w:val="24"/>
          <w:szCs w:val="24"/>
          <w:u w:color="000000"/>
        </w:rPr>
        <w:t>optimises</w:t>
      </w:r>
      <w:proofErr w:type="spellEnd"/>
      <w:r>
        <w:rPr>
          <w:rFonts w:ascii="Calibri" w:eastAsia="Calibri" w:hAnsi="Calibri" w:cs="Calibri"/>
          <w:sz w:val="24"/>
          <w:szCs w:val="24"/>
          <w:u w:color="000000"/>
        </w:rPr>
        <w:t xml:space="preserve"> the entire system. “Good design inspires 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>growth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and change, not just constrains adversity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>. It conditions a workforce and contributes to broad community strategies, such as sustainability</w:t>
      </w:r>
      <w:r>
        <w:rPr>
          <w:rFonts w:ascii="Calibri" w:eastAsia="Calibri" w:hAnsi="Calibri" w:cs="Calibri"/>
          <w:sz w:val="24"/>
          <w:szCs w:val="24"/>
          <w:u w:color="000000"/>
        </w:rPr>
        <w:t>,” says Dr Sara Pazell, Chair of the Position Paper Committee Members.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color="000000"/>
        </w:rPr>
        <w:t>This includes fostering innovative ways of doing work and producing positive impact that is both measurable and sustainabl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 xml:space="preserve">e. Because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it mainly affects 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 xml:space="preserve">the </w:t>
      </w:r>
      <w:r>
        <w:rPr>
          <w:rFonts w:ascii="Calibri" w:eastAsia="Calibri" w:hAnsi="Calibri" w:cs="Calibri"/>
          <w:sz w:val="24"/>
          <w:szCs w:val="24"/>
          <w:u w:color="000000"/>
        </w:rPr>
        <w:t>people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 xml:space="preserve"> at work,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Good Work Design does not mean increasing production costs.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color="000000"/>
        </w:rPr>
        <w:t>It is a participatory process that involves workers, management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sz w:val="24"/>
          <w:szCs w:val="24"/>
          <w:u w:color="000000"/>
        </w:rPr>
        <w:t>and all stakeholders. The end-users become the co-designers. This inclusive model empowers the workforce to become the architects and owners of the improved work design.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 xml:space="preserve"> It helps an organisation design for diversity. </w:t>
      </w:r>
    </w:p>
    <w:p w14:paraId="7FC7D0CA" w14:textId="77777777" w:rsidR="00C460D7" w:rsidRDefault="00C460D7">
      <w:pPr>
        <w:pStyle w:val="Default"/>
        <w:rPr>
          <w:rFonts w:ascii="Calibri" w:eastAsia="Calibri" w:hAnsi="Calibri" w:cs="Calibri"/>
          <w:color w:val="B41700"/>
          <w:sz w:val="24"/>
          <w:szCs w:val="24"/>
          <w:u w:color="000000"/>
        </w:rPr>
      </w:pPr>
    </w:p>
    <w:p w14:paraId="2FA1C9E6" w14:textId="77777777" w:rsidR="00C460D7" w:rsidRDefault="00FC0372">
      <w:pPr>
        <w:pStyle w:val="Default"/>
        <w:tabs>
          <w:tab w:val="right" w:pos="9020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Who benefits from Good Work Design?</w:t>
      </w:r>
    </w:p>
    <w:p w14:paraId="6CCB5857" w14:textId="77777777" w:rsidR="00C460D7" w:rsidRDefault="00C460D7">
      <w:pPr>
        <w:pStyle w:val="Default"/>
        <w:rPr>
          <w:rFonts w:ascii="Calibri" w:eastAsia="Calibri" w:hAnsi="Calibri" w:cs="Calibri"/>
          <w:sz w:val="24"/>
          <w:szCs w:val="24"/>
          <w:u w:color="000000"/>
        </w:rPr>
      </w:pPr>
    </w:p>
    <w:p w14:paraId="5008EF00" w14:textId="4EE96E64" w:rsidR="00C460D7" w:rsidRDefault="00FC0372">
      <w:pPr>
        <w:pStyle w:val="Default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The guiding principle is that all stakeholders should benefit from Good Work Design:</w:t>
      </w:r>
    </w:p>
    <w:p w14:paraId="6C3CE497" w14:textId="77777777" w:rsidR="00355B78" w:rsidRDefault="00355B78">
      <w:pPr>
        <w:pStyle w:val="Default"/>
        <w:rPr>
          <w:rFonts w:ascii="Arial" w:eastAsia="Arial" w:hAnsi="Arial" w:cs="Arial"/>
          <w:sz w:val="24"/>
          <w:szCs w:val="24"/>
          <w:u w:color="000000"/>
        </w:rPr>
      </w:pPr>
    </w:p>
    <w:p w14:paraId="01C5B456" w14:textId="77777777" w:rsidR="00C460D7" w:rsidRDefault="00FC0372">
      <w:pPr>
        <w:pStyle w:val="Default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Workers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benefit from improved health, safety, confidence, engagement, performance, and career advancement.</w:t>
      </w:r>
    </w:p>
    <w:p w14:paraId="18A3F8D9" w14:textId="77777777" w:rsidR="00C460D7" w:rsidRDefault="00C460D7">
      <w:pPr>
        <w:pStyle w:val="Default"/>
        <w:rPr>
          <w:rFonts w:ascii="Calibri" w:eastAsia="Calibri" w:hAnsi="Calibri" w:cs="Calibri"/>
          <w:sz w:val="24"/>
          <w:szCs w:val="24"/>
          <w:u w:color="000000"/>
        </w:rPr>
      </w:pPr>
    </w:p>
    <w:p w14:paraId="658E59C0" w14:textId="77777777" w:rsidR="00C460D7" w:rsidRDefault="00FC0372">
      <w:pPr>
        <w:pStyle w:val="Default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Employers and management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benefit from demonstrable improvement in productivity and profitability. They do not suffer enormous losses due to inefficiencies, work injuries, absenteeism, and compensation claims.</w:t>
      </w:r>
    </w:p>
    <w:p w14:paraId="2115FF15" w14:textId="77777777" w:rsidR="00C460D7" w:rsidRDefault="00C460D7">
      <w:pPr>
        <w:pStyle w:val="Default"/>
        <w:rPr>
          <w:rFonts w:ascii="Calibri" w:eastAsia="Calibri" w:hAnsi="Calibri" w:cs="Calibri"/>
          <w:sz w:val="24"/>
          <w:szCs w:val="24"/>
          <w:u w:color="000000"/>
        </w:rPr>
      </w:pPr>
    </w:p>
    <w:p w14:paraId="63E7846B" w14:textId="77777777" w:rsidR="00C460D7" w:rsidRDefault="00FC0372">
      <w:pPr>
        <w:pStyle w:val="Default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The environmental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and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social impact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of the enterprise is enhanced, which adds to its profitability, retention of workers, and prospects for investment. </w:t>
      </w:r>
    </w:p>
    <w:p w14:paraId="43CFFB20" w14:textId="77777777" w:rsidR="00C460D7" w:rsidRDefault="00C460D7">
      <w:pPr>
        <w:pStyle w:val="Default"/>
        <w:rPr>
          <w:rFonts w:ascii="Calibri" w:eastAsia="Calibri" w:hAnsi="Calibri" w:cs="Calibri"/>
          <w:sz w:val="24"/>
          <w:szCs w:val="24"/>
          <w:u w:color="000000"/>
        </w:rPr>
      </w:pPr>
    </w:p>
    <w:p w14:paraId="1CE1D6F0" w14:textId="77777777" w:rsidR="00C460D7" w:rsidRDefault="00C460D7">
      <w:pPr>
        <w:pStyle w:val="Default"/>
        <w:rPr>
          <w:rFonts w:ascii="Arial" w:eastAsia="Arial" w:hAnsi="Arial" w:cs="Arial"/>
          <w:sz w:val="24"/>
          <w:szCs w:val="24"/>
          <w:u w:color="000000"/>
        </w:rPr>
      </w:pPr>
    </w:p>
    <w:p w14:paraId="1EFF86A3" w14:textId="77777777" w:rsidR="00C460D7" w:rsidRDefault="00C460D7">
      <w:pPr>
        <w:pStyle w:val="Default"/>
        <w:rPr>
          <w:rFonts w:ascii="Arial" w:eastAsia="Arial" w:hAnsi="Arial" w:cs="Arial"/>
          <w:b/>
          <w:bCs/>
          <w:color w:val="B41700"/>
          <w:sz w:val="24"/>
          <w:szCs w:val="24"/>
          <w:u w:color="000000"/>
        </w:rPr>
      </w:pPr>
    </w:p>
    <w:p w14:paraId="4BDCDFB3" w14:textId="77777777" w:rsidR="00C460D7" w:rsidRDefault="00C460D7">
      <w:pPr>
        <w:pStyle w:val="Default"/>
        <w:rPr>
          <w:rFonts w:ascii="Arial" w:eastAsia="Arial" w:hAnsi="Arial" w:cs="Arial"/>
          <w:b/>
          <w:bCs/>
          <w:sz w:val="24"/>
          <w:szCs w:val="24"/>
          <w:u w:color="000000"/>
        </w:rPr>
      </w:pPr>
    </w:p>
    <w:p w14:paraId="737EB09D" w14:textId="77777777" w:rsidR="00C460D7" w:rsidRDefault="00FC0372">
      <w:pPr>
        <w:pStyle w:val="Default"/>
        <w:rPr>
          <w:rFonts w:ascii="Arial" w:eastAsia="Arial" w:hAnsi="Arial" w:cs="Arial"/>
          <w:b/>
          <w:bCs/>
          <w:sz w:val="24"/>
          <w:szCs w:val="24"/>
          <w:u w:color="000000"/>
        </w:rPr>
      </w:pPr>
      <w:r>
        <w:rPr>
          <w:rFonts w:ascii="Arial" w:hAnsi="Arial"/>
          <w:b/>
          <w:bCs/>
          <w:sz w:val="24"/>
          <w:szCs w:val="24"/>
          <w:u w:color="000000"/>
        </w:rPr>
        <w:t>The Costs of Poor Design</w:t>
      </w:r>
    </w:p>
    <w:p w14:paraId="5E4A6807" w14:textId="77777777" w:rsidR="00C460D7" w:rsidRDefault="00C460D7">
      <w:pPr>
        <w:pStyle w:val="Default"/>
        <w:rPr>
          <w:rFonts w:ascii="Arial" w:eastAsia="Arial" w:hAnsi="Arial" w:cs="Arial"/>
          <w:sz w:val="24"/>
          <w:szCs w:val="24"/>
          <w:u w:color="000000"/>
        </w:rPr>
      </w:pPr>
    </w:p>
    <w:p w14:paraId="6785AB15" w14:textId="3A4C8F97" w:rsidR="00C460D7" w:rsidRDefault="00FC0372">
      <w:pPr>
        <w:pStyle w:val="Default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Many Australian workplaces have 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>poorly integrated or articulated work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design. As a result, many are plagued with reduced productivity, costly product and system failures, a workforce with low levels of competence and engagement, compromised safety, and a negative impact on the environment. These workplaces typically suffer a high number of workdays lost due to injuries - predominantly musculoskeletal disorders. This is costing the Australian economy over $25 billion each year and is untenable if we want to achieve economic recovery.</w:t>
      </w:r>
    </w:p>
    <w:p w14:paraId="0E013CF8" w14:textId="77777777" w:rsidR="00C460D7" w:rsidRDefault="00C460D7">
      <w:pPr>
        <w:pStyle w:val="Default"/>
        <w:rPr>
          <w:rFonts w:ascii="Arial" w:eastAsia="Arial" w:hAnsi="Arial" w:cs="Arial"/>
          <w:sz w:val="24"/>
          <w:szCs w:val="24"/>
          <w:u w:color="000000"/>
        </w:rPr>
      </w:pPr>
    </w:p>
    <w:p w14:paraId="608C9EA1" w14:textId="36CF3E06" w:rsidR="00C460D7" w:rsidRDefault="00355B78">
      <w:pPr>
        <w:pStyle w:val="Default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There are significant ramifications when</w:t>
      </w:r>
      <w:r w:rsidR="00FC0372">
        <w:rPr>
          <w:rFonts w:ascii="Calibri" w:eastAsia="Calibri" w:hAnsi="Calibri" w:cs="Calibri"/>
          <w:sz w:val="24"/>
          <w:szCs w:val="24"/>
          <w:u w:color="000000"/>
        </w:rPr>
        <w:t xml:space="preserve"> workplaces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aim to </w:t>
      </w:r>
      <w:r w:rsidR="00FC0372">
        <w:rPr>
          <w:rFonts w:ascii="Calibri" w:eastAsia="Calibri" w:hAnsi="Calibri" w:cs="Calibri"/>
          <w:sz w:val="24"/>
          <w:szCs w:val="24"/>
          <w:u w:color="000000"/>
        </w:rPr>
        <w:t xml:space="preserve">carry out the minimum health and safety regulations. </w:t>
      </w:r>
      <w:r>
        <w:rPr>
          <w:rFonts w:ascii="Calibri" w:eastAsia="Calibri" w:hAnsi="Calibri" w:cs="Calibri"/>
          <w:sz w:val="24"/>
          <w:szCs w:val="24"/>
          <w:u w:color="000000"/>
        </w:rPr>
        <w:t>For example,</w:t>
      </w:r>
      <w:r w:rsidR="00FC0372">
        <w:rPr>
          <w:rFonts w:ascii="Calibri" w:eastAsia="Calibri" w:hAnsi="Calibri" w:cs="Calibri"/>
          <w:sz w:val="24"/>
          <w:szCs w:val="24"/>
          <w:u w:color="000000"/>
        </w:rPr>
        <w:t xml:space="preserve"> under a new Victorian workplace manslaughter law introduced following a growing number of fatal accidents at work, an employer could now be liable for a $16.5 million fine and 25 years jail time.</w:t>
      </w:r>
    </w:p>
    <w:p w14:paraId="0DAE6A99" w14:textId="77777777" w:rsidR="00C460D7" w:rsidRDefault="00C460D7">
      <w:pPr>
        <w:pStyle w:val="Default"/>
        <w:rPr>
          <w:rFonts w:ascii="Calibri" w:eastAsia="Calibri" w:hAnsi="Calibri" w:cs="Calibri"/>
          <w:sz w:val="24"/>
          <w:szCs w:val="24"/>
          <w:u w:color="000000"/>
        </w:rPr>
      </w:pPr>
    </w:p>
    <w:p w14:paraId="6EE9A92B" w14:textId="33DF86A3" w:rsidR="00C460D7" w:rsidRDefault="00FC0372">
      <w:pPr>
        <w:pStyle w:val="Default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Good Work Design does not just step in after a failure or accident to determine ‘what went wrong’. It should apply at the outset to determine ‘how can we 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 xml:space="preserve">design or </w:t>
      </w:r>
      <w:r>
        <w:rPr>
          <w:rFonts w:ascii="Calibri" w:eastAsia="Calibri" w:hAnsi="Calibri" w:cs="Calibri"/>
          <w:sz w:val="24"/>
          <w:szCs w:val="24"/>
          <w:u w:color="000000"/>
        </w:rPr>
        <w:t>make the whole system better?’.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The Good Work Design process can be applied to existing workplaces and activities, as well as new job tasks, equipment, </w:t>
      </w:r>
      <w:r w:rsidR="00355B78">
        <w:rPr>
          <w:rFonts w:ascii="Calibri" w:eastAsia="Calibri" w:hAnsi="Calibri" w:cs="Calibri"/>
          <w:sz w:val="24"/>
          <w:szCs w:val="24"/>
          <w:u w:color="000000"/>
        </w:rPr>
        <w:t>products, or work environments</w:t>
      </w:r>
      <w:r>
        <w:rPr>
          <w:rFonts w:ascii="Calibri" w:eastAsia="Calibri" w:hAnsi="Calibri" w:cs="Calibri"/>
          <w:sz w:val="24"/>
          <w:szCs w:val="24"/>
          <w:u w:color="000000"/>
        </w:rPr>
        <w:t>.</w:t>
      </w:r>
    </w:p>
    <w:p w14:paraId="150BC093" w14:textId="77777777" w:rsidR="00C460D7" w:rsidRDefault="00C460D7">
      <w:pPr>
        <w:pStyle w:val="Default"/>
        <w:rPr>
          <w:rFonts w:ascii="Calibri" w:eastAsia="Calibri" w:hAnsi="Calibri" w:cs="Calibri"/>
          <w:sz w:val="24"/>
          <w:szCs w:val="24"/>
          <w:u w:color="000000"/>
        </w:rPr>
      </w:pPr>
    </w:p>
    <w:p w14:paraId="7EE774E1" w14:textId="77777777" w:rsidR="00C460D7" w:rsidRDefault="00C460D7">
      <w:pPr>
        <w:spacing w:before="100" w:after="200"/>
        <w:jc w:val="both"/>
      </w:pPr>
    </w:p>
    <w:sectPr w:rsidR="00C46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607C0" w14:textId="77777777" w:rsidR="00C057E5" w:rsidRDefault="00C057E5">
      <w:r>
        <w:separator/>
      </w:r>
    </w:p>
  </w:endnote>
  <w:endnote w:type="continuationSeparator" w:id="0">
    <w:p w14:paraId="53874599" w14:textId="77777777" w:rsidR="00C057E5" w:rsidRDefault="00C0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CD3D5" w14:textId="77777777" w:rsidR="004C1212" w:rsidRDefault="004C1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81101" w14:textId="77777777" w:rsidR="00C460D7" w:rsidRDefault="00FC0372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lang w:val="en-US"/>
      </w:rPr>
      <w:t xml:space="preserve"> of </w:t>
    </w:r>
    <w:fldSimple w:instr=" NUMPAGES ">
      <w: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E57EB" w14:textId="77777777" w:rsidR="004C1212" w:rsidRDefault="004C1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FD2EE" w14:textId="77777777" w:rsidR="00C057E5" w:rsidRDefault="00C057E5">
      <w:r>
        <w:separator/>
      </w:r>
    </w:p>
  </w:footnote>
  <w:footnote w:type="continuationSeparator" w:id="0">
    <w:p w14:paraId="139B4980" w14:textId="77777777" w:rsidR="00C057E5" w:rsidRDefault="00C05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F2584" w14:textId="77777777" w:rsidR="004C1212" w:rsidRDefault="004C1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2BD89" w14:textId="77777777" w:rsidR="00C460D7" w:rsidRDefault="00FC0372">
    <w:pPr>
      <w:pStyle w:val="HeaderFooter"/>
      <w:tabs>
        <w:tab w:val="clear" w:pos="9020"/>
        <w:tab w:val="center" w:pos="4819"/>
        <w:tab w:val="right" w:pos="9638"/>
      </w:tabs>
      <w:rPr>
        <w:u w:color="000000"/>
      </w:rPr>
    </w:pPr>
    <w:r>
      <w:rPr>
        <w:u w:color="000000"/>
      </w:rPr>
      <w:tab/>
    </w:r>
    <w:r>
      <w:rPr>
        <w:sz w:val="26"/>
        <w:szCs w:val="26"/>
        <w:u w:color="000000"/>
        <w:lang w:val="en-US"/>
      </w:rPr>
      <w:t>PRESS RELEASE</w:t>
    </w:r>
  </w:p>
  <w:p w14:paraId="1F0E0285" w14:textId="77777777" w:rsidR="00C460D7" w:rsidRDefault="00C460D7">
    <w:pPr>
      <w:pStyle w:val="HeaderFooter"/>
      <w:tabs>
        <w:tab w:val="clear" w:pos="9020"/>
        <w:tab w:val="center" w:pos="4819"/>
        <w:tab w:val="right" w:pos="9638"/>
      </w:tabs>
      <w:rPr>
        <w:u w:color="000000"/>
      </w:rPr>
    </w:pPr>
  </w:p>
  <w:p w14:paraId="7783624F" w14:textId="77777777" w:rsidR="00C460D7" w:rsidRPr="004C1212" w:rsidRDefault="00FC0372">
    <w:pPr>
      <w:pStyle w:val="HeaderFooter"/>
      <w:tabs>
        <w:tab w:val="clear" w:pos="9020"/>
        <w:tab w:val="center" w:pos="4819"/>
        <w:tab w:val="right" w:pos="9638"/>
      </w:tabs>
      <w:rPr>
        <w:color w:val="595959" w:themeColor="text1" w:themeTint="A6"/>
        <w:u w:color="000000"/>
      </w:rPr>
    </w:pPr>
    <w:r>
      <w:rPr>
        <w:u w:color="000000"/>
      </w:rPr>
      <w:tab/>
    </w:r>
    <w:r>
      <w:rPr>
        <w:b/>
        <w:bCs/>
        <w:sz w:val="26"/>
        <w:szCs w:val="26"/>
        <w:u w:color="000000"/>
        <w:lang w:val="en-US"/>
      </w:rPr>
      <w:t xml:space="preserve">  </w:t>
    </w:r>
    <w:r w:rsidRPr="004C1212">
      <w:rPr>
        <w:b/>
        <w:bCs/>
        <w:color w:val="595959" w:themeColor="text1" w:themeTint="A6"/>
        <w:sz w:val="26"/>
        <w:szCs w:val="26"/>
        <w:u w:color="000000"/>
        <w:lang w:val="en-US"/>
      </w:rPr>
      <w:t>GOOD WORK DESIGN in the post-COVID WORKPLACE</w:t>
    </w:r>
  </w:p>
  <w:p w14:paraId="065F612C" w14:textId="5A1667C0" w:rsidR="00C460D7" w:rsidRPr="004C1212" w:rsidRDefault="00FC0372" w:rsidP="004C1212">
    <w:pPr>
      <w:pStyle w:val="HeaderFooter"/>
      <w:tabs>
        <w:tab w:val="clear" w:pos="9020"/>
        <w:tab w:val="center" w:pos="4819"/>
        <w:tab w:val="right" w:pos="9638"/>
      </w:tabs>
      <w:jc w:val="center"/>
      <w:rPr>
        <w:rFonts w:ascii="Calibri" w:hAnsi="Calibri" w:cs="Calibri"/>
        <w:color w:val="595959" w:themeColor="text1" w:themeTint="A6"/>
        <w:sz w:val="20"/>
        <w:szCs w:val="20"/>
        <w:u w:color="000000"/>
      </w:rPr>
    </w:pPr>
    <w:r w:rsidRPr="004C1212">
      <w:rPr>
        <w:rFonts w:ascii="Calibri" w:hAnsi="Calibri" w:cs="Calibri"/>
        <w:color w:val="595959" w:themeColor="text1" w:themeTint="A6"/>
        <w:sz w:val="20"/>
        <w:szCs w:val="20"/>
        <w:u w:color="000000"/>
        <w:lang w:val="en-US"/>
      </w:rPr>
      <w:t xml:space="preserve">- </w:t>
    </w:r>
    <w:r w:rsidRPr="004C1212">
      <w:rPr>
        <w:rFonts w:ascii="Calibri" w:eastAsia="Calibri" w:hAnsi="Calibri" w:cs="Calibri"/>
        <w:color w:val="595959" w:themeColor="text1" w:themeTint="A6"/>
        <w:sz w:val="20"/>
        <w:szCs w:val="20"/>
        <w:u w:color="000000"/>
        <w:lang w:val="en-US"/>
      </w:rPr>
      <w:t>Human Factors and Ergonomics Society Australia, (HFESA)</w:t>
    </w:r>
    <w:r w:rsidR="004C1212">
      <w:rPr>
        <w:rFonts w:ascii="Calibri" w:eastAsia="Calibri" w:hAnsi="Calibri" w:cs="Calibri"/>
        <w:color w:val="595959" w:themeColor="text1" w:themeTint="A6"/>
        <w:sz w:val="20"/>
        <w:szCs w:val="20"/>
        <w:u w:color="000000"/>
        <w:lang w:val="en-US"/>
      </w:rPr>
      <w:t xml:space="preserve"> - </w:t>
    </w:r>
  </w:p>
  <w:p w14:paraId="46BE3D9E" w14:textId="265BCD1A" w:rsidR="004C1212" w:rsidRPr="004C1212" w:rsidRDefault="00FC0372" w:rsidP="004C1212">
    <w:pPr>
      <w:pStyle w:val="HeaderFooter"/>
      <w:tabs>
        <w:tab w:val="clear" w:pos="9020"/>
        <w:tab w:val="center" w:pos="4819"/>
        <w:tab w:val="right" w:pos="9638"/>
      </w:tabs>
      <w:jc w:val="center"/>
      <w:rPr>
        <w:rFonts w:ascii="Calibri" w:hAnsi="Calibri" w:cs="Calibri"/>
        <w:color w:val="595959" w:themeColor="text1" w:themeTint="A6"/>
        <w:sz w:val="20"/>
        <w:szCs w:val="20"/>
        <w:u w:color="000000"/>
      </w:rPr>
    </w:pPr>
    <w:r w:rsidRPr="004C1212">
      <w:rPr>
        <w:rFonts w:ascii="Calibri" w:eastAsia="Calibri" w:hAnsi="Calibri" w:cs="Calibri"/>
        <w:color w:val="595959" w:themeColor="text1" w:themeTint="A6"/>
        <w:sz w:val="20"/>
        <w:szCs w:val="20"/>
        <w:u w:color="000000"/>
        <w:lang w:val="en-US"/>
      </w:rPr>
      <w:t xml:space="preserve">Spokesperson: </w:t>
    </w:r>
    <w:r w:rsidR="004C1212" w:rsidRPr="004C1212">
      <w:rPr>
        <w:rFonts w:ascii="Calibri" w:eastAsia="Calibri" w:hAnsi="Calibri" w:cs="Calibri"/>
        <w:color w:val="595959" w:themeColor="text1" w:themeTint="A6"/>
        <w:sz w:val="20"/>
        <w:szCs w:val="20"/>
        <w:u w:color="000000"/>
        <w:lang w:val="en-US"/>
      </w:rPr>
      <w:t xml:space="preserve">Sara Pazell, 0421 824 644, </w:t>
    </w:r>
    <w:hyperlink r:id="rId1" w:history="1">
      <w:r w:rsidR="004C1212" w:rsidRPr="004C1212">
        <w:rPr>
          <w:rStyle w:val="Hyperlink"/>
          <w:rFonts w:ascii="Calibri" w:eastAsia="Calibri" w:hAnsi="Calibri" w:cs="Calibri"/>
          <w:color w:val="595959" w:themeColor="text1" w:themeTint="A6"/>
          <w:sz w:val="20"/>
          <w:szCs w:val="20"/>
          <w:lang w:val="en-US"/>
        </w:rPr>
        <w:t>info@vivahealthgroup.com.au</w:t>
      </w:r>
    </w:hyperlink>
    <w:r w:rsidR="004C1212" w:rsidRPr="004C1212">
      <w:rPr>
        <w:rFonts w:ascii="Calibri" w:eastAsia="Calibri" w:hAnsi="Calibri" w:cs="Calibri"/>
        <w:color w:val="595959" w:themeColor="text1" w:themeTint="A6"/>
        <w:sz w:val="20"/>
        <w:szCs w:val="20"/>
        <w:u w:color="000000"/>
        <w:lang w:val="en-US"/>
      </w:rPr>
      <w:t xml:space="preserve">, or </w:t>
    </w:r>
    <w:hyperlink r:id="rId2" w:history="1">
      <w:r w:rsidR="004C1212" w:rsidRPr="004C1212">
        <w:rPr>
          <w:rStyle w:val="Hyperlink"/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</w:rPr>
        <w:t>secretariat@ergonomics.org.au</w:t>
      </w:r>
    </w:hyperlink>
    <w:r w:rsidR="004C1212" w:rsidRPr="004C1212">
      <w:rPr>
        <w:rFonts w:ascii="Calibri" w:hAnsi="Calibri" w:cs="Calibri"/>
        <w:color w:val="595959" w:themeColor="text1" w:themeTint="A6"/>
        <w:sz w:val="20"/>
        <w:szCs w:val="20"/>
        <w:shd w:val="clear" w:color="auto" w:fill="FFFFFF"/>
      </w:rPr>
      <w:t xml:space="preserve">, </w:t>
    </w:r>
    <w:hyperlink r:id="rId3" w:history="1">
      <w:r w:rsidR="004C1212" w:rsidRPr="004C1212">
        <w:rPr>
          <w:rStyle w:val="Hyperlink"/>
          <w:rFonts w:ascii="Calibri" w:hAnsi="Calibri" w:cs="Calibri"/>
          <w:color w:val="595959" w:themeColor="text1" w:themeTint="A6"/>
          <w:sz w:val="20"/>
          <w:szCs w:val="20"/>
        </w:rPr>
        <w:t>https://www.ergonomics.org.au/</w:t>
      </w:r>
    </w:hyperlink>
  </w:p>
  <w:p w14:paraId="11F272C7" w14:textId="2AD825C7" w:rsidR="004C1212" w:rsidRPr="004C1212" w:rsidRDefault="004C1212" w:rsidP="004C1212">
    <w:pPr>
      <w:pStyle w:val="HeaderFooter"/>
      <w:tabs>
        <w:tab w:val="clear" w:pos="9020"/>
        <w:tab w:val="center" w:pos="4819"/>
        <w:tab w:val="right" w:pos="9638"/>
      </w:tabs>
      <w:jc w:val="center"/>
      <w:rPr>
        <w:rFonts w:ascii="Calibri" w:hAnsi="Calibri" w:cs="Calibri"/>
        <w:color w:val="595959" w:themeColor="text1" w:themeTint="A6"/>
        <w:sz w:val="20"/>
        <w:szCs w:val="20"/>
        <w:u w:color="ED220B"/>
      </w:rPr>
    </w:pPr>
    <w:r w:rsidRPr="004C1212">
      <w:rPr>
        <w:rFonts w:ascii="Calibri" w:hAnsi="Calibri" w:cs="Calibri"/>
        <w:color w:val="595959" w:themeColor="text1" w:themeTint="A6"/>
        <w:sz w:val="20"/>
        <w:szCs w:val="20"/>
        <w:u w:color="000000"/>
      </w:rPr>
      <w:t>Press Release Date: 20.07.2020</w:t>
    </w:r>
  </w:p>
  <w:p w14:paraId="16B7C014" w14:textId="726741EF" w:rsidR="00C460D7" w:rsidRPr="004C1212" w:rsidRDefault="004C1212" w:rsidP="004C1212">
    <w:pPr>
      <w:pStyle w:val="HeaderFooter"/>
      <w:tabs>
        <w:tab w:val="clear" w:pos="9020"/>
        <w:tab w:val="center" w:pos="4819"/>
        <w:tab w:val="right" w:pos="9638"/>
      </w:tabs>
      <w:jc w:val="center"/>
      <w:rPr>
        <w:rFonts w:ascii="Calibri" w:hAnsi="Calibri" w:cs="Calibri"/>
        <w:color w:val="595959" w:themeColor="text1" w:themeTint="A6"/>
        <w:sz w:val="20"/>
        <w:szCs w:val="20"/>
      </w:rPr>
    </w:pPr>
    <w:r w:rsidRPr="004C1212">
      <w:rPr>
        <w:rFonts w:ascii="Calibri" w:hAnsi="Calibri" w:cs="Calibri"/>
        <w:color w:val="595959" w:themeColor="text1" w:themeTint="A6"/>
        <w:sz w:val="20"/>
        <w:szCs w:val="20"/>
        <w:u w:color="ED220B"/>
      </w:rPr>
      <w:t xml:space="preserve">Webinar Scheduled </w:t>
    </w:r>
    <w:r w:rsidR="00FC0372" w:rsidRPr="004C1212">
      <w:rPr>
        <w:rFonts w:ascii="Calibri" w:eastAsia="Calibri" w:hAnsi="Calibri" w:cs="Calibri"/>
        <w:color w:val="595959" w:themeColor="text1" w:themeTint="A6"/>
        <w:sz w:val="20"/>
        <w:szCs w:val="20"/>
        <w:u w:color="000000"/>
        <w:lang w:val="en-US"/>
      </w:rPr>
      <w:t xml:space="preserve">Date: </w:t>
    </w:r>
    <w:r w:rsidRPr="004C1212">
      <w:rPr>
        <w:rFonts w:ascii="Calibri" w:eastAsia="Calibri" w:hAnsi="Calibri" w:cs="Calibri"/>
        <w:color w:val="595959" w:themeColor="text1" w:themeTint="A6"/>
        <w:sz w:val="20"/>
        <w:szCs w:val="20"/>
        <w:u w:color="000000"/>
        <w:lang w:val="en-US"/>
      </w:rPr>
      <w:t>23.07.2020</w:t>
    </w:r>
    <w:r w:rsidR="00FC0372" w:rsidRPr="004C1212">
      <w:rPr>
        <w:rFonts w:ascii="Calibri" w:eastAsia="Calibri" w:hAnsi="Calibri" w:cs="Calibri"/>
        <w:color w:val="595959" w:themeColor="text1" w:themeTint="A6"/>
        <w:sz w:val="20"/>
        <w:szCs w:val="20"/>
        <w:u w:color="000000"/>
        <w:lang w:val="en-US"/>
      </w:rPr>
      <w:t xml:space="preserve">   Time: </w:t>
    </w:r>
    <w:r w:rsidRPr="004C1212">
      <w:rPr>
        <w:rFonts w:ascii="Calibri" w:eastAsia="Calibri" w:hAnsi="Calibri" w:cs="Calibri"/>
        <w:color w:val="595959" w:themeColor="text1" w:themeTint="A6"/>
        <w:sz w:val="20"/>
        <w:szCs w:val="20"/>
        <w:u w:color="000000"/>
        <w:lang w:val="en-US"/>
      </w:rPr>
      <w:t>6.30PM AEST</w:t>
    </w:r>
    <w:r w:rsidR="00FC0372" w:rsidRPr="004C1212">
      <w:rPr>
        <w:rFonts w:ascii="Calibri" w:eastAsia="Calibri" w:hAnsi="Calibri" w:cs="Calibri"/>
        <w:color w:val="595959" w:themeColor="text1" w:themeTint="A6"/>
        <w:sz w:val="20"/>
        <w:szCs w:val="20"/>
        <w:u w:color="000000"/>
        <w:lang w:val="en-US"/>
      </w:rPr>
      <w:t xml:space="preserve">     Zoom details:</w:t>
    </w:r>
    <w:r w:rsidRPr="004C1212">
      <w:rPr>
        <w:rFonts w:ascii="Calibri" w:hAnsi="Calibri" w:cs="Calibri"/>
        <w:sz w:val="20"/>
        <w:szCs w:val="20"/>
      </w:rPr>
      <w:t xml:space="preserve"> </w:t>
    </w:r>
    <w:hyperlink r:id="rId4" w:history="1">
      <w:r w:rsidRPr="004C1212">
        <w:rPr>
          <w:rStyle w:val="Hyperlink"/>
          <w:rFonts w:ascii="Calibri" w:hAnsi="Calibri" w:cs="Calibri"/>
          <w:sz w:val="20"/>
          <w:szCs w:val="20"/>
        </w:rPr>
        <w:t>https://www.ergonomics.org.au/events/event/pd-event-good-work-design-gwd-hfesa-position-paper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A1E19" w14:textId="77777777" w:rsidR="004C1212" w:rsidRDefault="004C1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0F86"/>
    <w:multiLevelType w:val="hybridMultilevel"/>
    <w:tmpl w:val="7BCE13B6"/>
    <w:styleLink w:val="ImportedStyle1"/>
    <w:lvl w:ilvl="0" w:tplc="B35EC9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201F0A">
      <w:start w:val="1"/>
      <w:numFmt w:val="bullet"/>
      <w:lvlText w:val="o"/>
      <w:lvlJc w:val="left"/>
      <w:pPr>
        <w:ind w:left="141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B623AE">
      <w:start w:val="1"/>
      <w:numFmt w:val="bullet"/>
      <w:lvlText w:val="▪"/>
      <w:lvlJc w:val="left"/>
      <w:pPr>
        <w:ind w:left="213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CCE472">
      <w:start w:val="1"/>
      <w:numFmt w:val="bullet"/>
      <w:lvlText w:val="·"/>
      <w:lvlJc w:val="left"/>
      <w:pPr>
        <w:ind w:left="2852" w:hanging="3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9E16FE">
      <w:start w:val="1"/>
      <w:numFmt w:val="bullet"/>
      <w:lvlText w:val="o"/>
      <w:lvlJc w:val="left"/>
      <w:pPr>
        <w:ind w:left="357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22805A">
      <w:start w:val="1"/>
      <w:numFmt w:val="bullet"/>
      <w:lvlText w:val="▪"/>
      <w:lvlJc w:val="left"/>
      <w:pPr>
        <w:ind w:left="429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48F1F0">
      <w:start w:val="1"/>
      <w:numFmt w:val="bullet"/>
      <w:lvlText w:val="·"/>
      <w:lvlJc w:val="left"/>
      <w:pPr>
        <w:ind w:left="5012" w:hanging="3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1694AE">
      <w:start w:val="1"/>
      <w:numFmt w:val="bullet"/>
      <w:lvlText w:val="o"/>
      <w:lvlJc w:val="left"/>
      <w:pPr>
        <w:ind w:left="573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4A3AEA">
      <w:start w:val="1"/>
      <w:numFmt w:val="bullet"/>
      <w:lvlText w:val="▪"/>
      <w:lvlJc w:val="left"/>
      <w:pPr>
        <w:ind w:left="645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777A61"/>
    <w:multiLevelType w:val="hybridMultilevel"/>
    <w:tmpl w:val="7BCE13B6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D7"/>
    <w:rsid w:val="00355B78"/>
    <w:rsid w:val="0048271E"/>
    <w:rsid w:val="004C1212"/>
    <w:rsid w:val="008710C2"/>
    <w:rsid w:val="00C057E5"/>
    <w:rsid w:val="00C460D7"/>
    <w:rsid w:val="00FC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DD914"/>
  <w15:docId w15:val="{12AD5D1B-E701-4CA0-92C1-BD523A27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C12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21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C12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212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1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rgonomics.org.au/" TargetMode="External"/><Relationship Id="rId2" Type="http://schemas.openxmlformats.org/officeDocument/2006/relationships/hyperlink" Target="mailto:secretariat@ergonomics.org.au" TargetMode="External"/><Relationship Id="rId1" Type="http://schemas.openxmlformats.org/officeDocument/2006/relationships/hyperlink" Target="mailto:info@vivahealthgroup.com.au" TargetMode="External"/><Relationship Id="rId4" Type="http://schemas.openxmlformats.org/officeDocument/2006/relationships/hyperlink" Target="https://www.ergonomics.org.au/events/event/pd-event-good-work-design-gwd-hfesa-position-paper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Crawford</dc:creator>
  <cp:lastModifiedBy>Elise Crawford</cp:lastModifiedBy>
  <cp:revision>2</cp:revision>
  <dcterms:created xsi:type="dcterms:W3CDTF">2020-07-21T01:50:00Z</dcterms:created>
  <dcterms:modified xsi:type="dcterms:W3CDTF">2020-07-21T01:50:00Z</dcterms:modified>
</cp:coreProperties>
</file>